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Calibri" w:hAnsi="Calibri" w:cs="Calibri" w:eastAsia="Calibri"/>
          <w:color w:val="auto"/>
          <w:spacing w:val="0"/>
          <w:position w:val="0"/>
          <w:sz w:val="18"/>
          <w:shd w:fill="auto" w:val="clear"/>
        </w:rPr>
      </w:pPr>
      <w:r>
        <w:object w:dxaOrig="2550" w:dyaOrig="629">
          <v:rect xmlns:o="urn:schemas-microsoft-com:office:office" xmlns:v="urn:schemas-microsoft-com:vml" id="rectole0000000000" style="width:127.500000pt;height:31.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Принтеры серии MH240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новая линейка промышленных принтеров TSC для печати этикеток. В изделиях серии MH240 используется передовая технология управления печатающей головкой, процессор с более высоким быстродействием, а также все модули памяти, необходимые заказчикам для печати этикеток высокого качества с максимальной скоростью.</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Принтеры серии MH240 отличаются самым высоким качеством печати, которое обеспечивается благодаря использованию новейшей технологии управления печатающей головкой в сочетании с высокоскоростным процессором и обновленной прошивкой. Новая усовершенствованная технология управления печатной головкой получила название Thermal Smart Control</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Она гарантирует тщательное отслеживание и вычисление необходимой продолжительности нагрева каждого пикселя для обеспечения одинаково высокой точности, четкости и яркости печати при изготовлении как единичных этикеток, так и многотысячных партий.</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Принтеры новой серии MH240 оснащаются цветной сенсорной жидкокристаллической панелью с высокой контрастностью, диагональю 4,3 дюйма, 6 кнопками управления и удобной в использовании конструкцией, которая упрощает настройку принтера и отслеживание статуса печати. Повседневные задачи, например, калибровка этикетки, выполняются в одно касание. Существует возможность пользовательской настройки меню для вывода наиболее часто выполняемых задач на первый экран. Благодаря этому принтеры серии MH240 максимально просты в эксплуатации.</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Принтеры серии MH240 могут использоваться для печати широкого ассортимента этикеток: от маркировки для обеспечения безопасности пациентов учреждений здравоохранения и этикеток для электронных и ювелирных изделий до ярлыков для отгрузки и распределения товаров. Благодаря этому они являются идеальным решением для промышленной печати.</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Новая серия MH240 включает в себя 9 моделей принтеров. Принтер MH240P обеспечивает разрешение печати 203 точки на дюйм при скорости печати до 14 дюймов. Принтер MH340P отличается разрешением печати 300 точек на дюйм при скорости печати до 10 дюймов в секунду. Разрешение печати 600 точек на дюйм позволяет распечатывать на принтере MH640P очень мелкие двумерные штрихкоды, графические элементы и другие изображения, выполненные со сверхвысоким разрешением.</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Сферы применения: печать этикеток соответствия, поточная печать без отрыва от производства, отгрузка и приемка товаров, маркировка в учреждениях здравоохранения и обеспечение безопасности пациентов, печать билетов, маркировка электроники и ювелирных изделий.</w:t>
      </w:r>
    </w:p>
    <w:p>
      <w:pPr>
        <w:spacing w:before="0" w:after="0" w:line="630"/>
        <w:ind w:right="0" w:left="0" w:firstLine="0"/>
        <w:jc w:val="left"/>
        <w:rPr>
          <w:rFonts w:ascii="Calibri" w:hAnsi="Calibri" w:cs="Calibri" w:eastAsia="Calibri"/>
          <w:b/>
          <w:color w:val="auto"/>
          <w:spacing w:val="0"/>
          <w:position w:val="0"/>
          <w:sz w:val="18"/>
          <w:shd w:fill="FFFFFF" w:val="clear"/>
        </w:rPr>
      </w:pPr>
      <w:r>
        <w:rPr>
          <w:rFonts w:ascii="Calibri" w:hAnsi="Calibri" w:cs="Calibri" w:eastAsia="Calibri"/>
          <w:b/>
          <w:color w:val="auto"/>
          <w:spacing w:val="0"/>
          <w:position w:val="0"/>
          <w:sz w:val="18"/>
          <w:shd w:fill="FFFFFF" w:val="clear"/>
        </w:rPr>
        <w:t xml:space="preserve">Серия MH240</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Технология печати Thermal Smart Control позволяет получать наиболее четкие штрихкоды высочайшего качества</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Скорость печати до 356 мм (14 дюймов) в секунду</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Новый дизайн графического интерфейса пользователя для дисплея, обеспечивающий простоту в эксплуатации</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Цветной жидкокристаллический дисплей с диагональю 3,5 дюйма и 6 кнопками управления в стандартной комплектации или цветная сенсорная жидкокристаллическая панель с диагональю 4,3 дюйма и 6 кнопками управления в усовершенствованной модели</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Разделитель для маленьких этикеток длиной до 0,5 дюйма (MH240P, MH340, MH640P, а также MH240T, MH340T, MH640T) Внутренний смотчик для полного рулона с внешним диаметром</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8 </w:t>
      </w:r>
      <w:r>
        <w:rPr>
          <w:rFonts w:ascii="Calibri" w:hAnsi="Calibri" w:cs="Calibri" w:eastAsia="Calibri"/>
          <w:color w:val="auto"/>
          <w:spacing w:val="0"/>
          <w:position w:val="0"/>
          <w:sz w:val="18"/>
          <w:shd w:fill="FFFFFF" w:val="clear"/>
        </w:rPr>
        <w:t xml:space="preserve">дюймов (только для принтеров MH240P, MH340P, MH640P)</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Интерфейс USB-host для автономной работы</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Возможность использования разрешения печати 203, 300 и 600 точек на дюйм, прошивка автоматически распознает разрешение печатной головки и переключается в соответствующий режим</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Длина намотки ленты 600 метров</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Устройство считывания карт micro SD для расширения объема флэш-памяти до 32 ГБ</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Мини-приложение для контроля длины намотки ленты и рулона этикеток</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Прошивка TSPL-EZ с поддержкой стандарта plug-n-play</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Предусматриваются следующие опции: отделитель, универсальное подключение ввода-вывода, внутренний модуль Bluetooth, разъем для беспроводного модуля 802.11 a/b/g/n, стандартный резак и усиленный гильотинный резак</w:t>
      </w:r>
    </w:p>
    <w:p>
      <w:pPr>
        <w:numPr>
          <w:ilvl w:val="0"/>
          <w:numId w:val="4"/>
        </w:numPr>
        <w:tabs>
          <w:tab w:val="left" w:pos="720" w:leader="none"/>
        </w:tabs>
        <w:spacing w:before="100" w:after="100" w:line="240"/>
        <w:ind w:right="0" w:left="0" w:hanging="360"/>
        <w:jc w:val="left"/>
        <w:rPr>
          <w:rFonts w:ascii="Calibri" w:hAnsi="Calibri" w:cs="Calibri" w:eastAsia="Calibri"/>
          <w:color w:val="auto"/>
          <w:spacing w:val="0"/>
          <w:position w:val="0"/>
          <w:sz w:val="18"/>
          <w:shd w:fill="FFFFFF" w:val="clear"/>
        </w:rPr>
      </w:pPr>
      <w:r>
        <w:rPr>
          <w:rFonts w:ascii="Calibri" w:hAnsi="Calibri" w:cs="Calibri" w:eastAsia="Calibri"/>
          <w:color w:val="auto"/>
          <w:spacing w:val="0"/>
          <w:position w:val="0"/>
          <w:sz w:val="18"/>
          <w:shd w:fill="FFFFFF" w:val="clear"/>
        </w:rPr>
        <w:t xml:space="preserve">Сертификация в соответствии со стандартом ENERGY STAR</w:t>
      </w:r>
      <w:r>
        <w:rPr>
          <w:rFonts w:ascii="Calibri" w:hAnsi="Calibri" w:cs="Calibri" w:eastAsia="Calibri"/>
          <w:color w:val="auto"/>
          <w:spacing w:val="0"/>
          <w:position w:val="0"/>
          <w:sz w:val="18"/>
          <w:shd w:fill="FFFFFF" w:val="clear"/>
        </w:rPr>
        <w:t xml:space="preserve">®</w:t>
      </w:r>
    </w:p>
    <w:p>
      <w:pPr>
        <w:spacing w:before="0" w:after="160" w:line="240"/>
        <w:ind w:right="0" w:left="0" w:firstLine="0"/>
        <w:jc w:val="right"/>
        <w:rPr>
          <w:rFonts w:ascii="Calibri" w:hAnsi="Calibri" w:cs="Calibri" w:eastAsia="Calibri"/>
          <w:color w:val="auto"/>
          <w:spacing w:val="0"/>
          <w:position w:val="0"/>
          <w:sz w:val="22"/>
          <w:shd w:fill="auto" w:val="clear"/>
        </w:rPr>
      </w:pPr>
    </w:p>
    <w:p>
      <w:pPr>
        <w:spacing w:before="0" w:after="160" w:line="240"/>
        <w:ind w:right="0" w:left="0" w:firstLine="0"/>
        <w:jc w:val="right"/>
        <w:rPr>
          <w:rFonts w:ascii="Calibri" w:hAnsi="Calibri" w:cs="Calibri" w:eastAsia="Calibri"/>
          <w:color w:val="auto"/>
          <w:spacing w:val="0"/>
          <w:position w:val="0"/>
          <w:sz w:val="22"/>
          <w:shd w:fill="auto" w:val="clear"/>
        </w:rPr>
      </w:pPr>
    </w:p>
    <w:p>
      <w:pPr>
        <w:spacing w:before="0" w:after="160" w:line="240"/>
        <w:ind w:right="0" w:left="0" w:firstLine="0"/>
        <w:jc w:val="right"/>
        <w:rPr>
          <w:rFonts w:ascii="Calibri" w:hAnsi="Calibri" w:cs="Calibri" w:eastAsia="Calibri"/>
          <w:color w:val="auto"/>
          <w:spacing w:val="0"/>
          <w:position w:val="0"/>
          <w:sz w:val="22"/>
          <w:shd w:fill="auto" w:val="clear"/>
        </w:rPr>
      </w:pPr>
    </w:p>
    <w:p>
      <w:pPr>
        <w:spacing w:before="0" w:after="160" w:line="240"/>
        <w:ind w:right="0" w:left="0" w:firstLine="0"/>
        <w:jc w:val="right"/>
        <w:rPr>
          <w:rFonts w:ascii="Calibri" w:hAnsi="Calibri" w:cs="Calibri" w:eastAsia="Calibri"/>
          <w:color w:val="auto"/>
          <w:spacing w:val="0"/>
          <w:position w:val="0"/>
          <w:sz w:val="22"/>
          <w:shd w:fill="auto" w:val="clear"/>
        </w:rPr>
      </w:pPr>
      <w:r>
        <w:object w:dxaOrig="2580" w:dyaOrig="659">
          <v:rect xmlns:o="urn:schemas-microsoft-com:office:office" xmlns:v="urn:schemas-microsoft-com:vml" id="rectole0000000001" style="width:129.000000pt;height:32.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